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SUNDHEDSKALENDER</w:t>
      </w:r>
    </w:p>
    <w:tbl>
      <w:tblPr>
        <w:tblW w:w="140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1790"/>
        <w:gridCol w:w="1734"/>
        <w:gridCol w:w="1762"/>
        <w:gridCol w:w="1763"/>
        <w:gridCol w:w="1762"/>
        <w:gridCol w:w="1762"/>
        <w:gridCol w:w="1762"/>
        <w:gridCol w:w="1762"/>
      </w:tblGrid>
      <w:tr>
        <w:tblPrEx>
          <w:shd w:val="clear" w:color="auto" w:fill="000000"/>
        </w:tblPrEx>
        <w:trPr>
          <w:trHeight w:val="472" w:hRule="atLeast"/>
          <w:tblHeader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SUNDHEDSVALG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MANDAG</w:t>
            </w:r>
          </w:p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TIRSDAG</w:t>
            </w:r>
          </w:p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ONSDAG</w:t>
            </w:r>
          </w:p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TORSDAG</w:t>
            </w:r>
          </w:p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FREDAG</w:t>
            </w:r>
          </w:p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Ø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RDAG</w:t>
            </w:r>
          </w:p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Ø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NDAG</w:t>
            </w:r>
          </w:p>
        </w:tc>
      </w:tr>
      <w:tr>
        <w:tblPrEx>
          <w:shd w:val="clear" w:color="auto" w:fill="cacaca"/>
        </w:tblPrEx>
        <w:trPr>
          <w:trHeight w:val="540" w:hRule="atLeast"/>
        </w:trPr>
        <w:tc>
          <w:tcPr>
            <w:tcW w:type="dxa" w:w="179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MORGENMAD</w:t>
            </w:r>
          </w:p>
        </w:tc>
        <w:tc>
          <w:tcPr>
            <w:tcW w:type="dxa" w:w="173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FROKOST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AFTENSMAD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SNACKING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DRIKKEVARER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KOSTTILSKUD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BEV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Æ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GELSE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TR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Æ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NING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Ø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VN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8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AFSTRESSNING OG RO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GL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Æ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DE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Avenir Heavy" w:cs="Arial Unicode MS" w:hAnsi="Avenir Heavy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Æ</w:t>
            </w: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RING O.L.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acaca"/>
        </w:tblPrEx>
        <w:trPr>
          <w:trHeight w:val="520" w:hRule="atLeast"/>
        </w:trPr>
        <w:tc>
          <w:tcPr>
            <w:tcW w:type="dxa" w:w="17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venir Heavy" w:cs="Arial Unicode MS" w:hAnsi="Avenir Heavy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RYGESTOP</w:t>
            </w:r>
          </w:p>
        </w:tc>
        <w:tc>
          <w:tcPr>
            <w:tcW w:type="dxa" w:w="17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Heading 1"/>
      </w:pPr>
    </w:p>
    <w:p>
      <w:pPr>
        <w:pStyle w:val="Heading 1"/>
        <w:widowControl w:val="0"/>
        <w:ind w:left="108" w:hanging="108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rtl w:val="0"/>
        <w:lang w:val="da-DK"/>
      </w:rPr>
      <w:t xml:space="preserve">UMAHRO </w:t>
    </w:r>
    <w:r>
      <w:rPr>
        <w:b w:val="1"/>
        <w:bCs w:val="1"/>
        <w:rtl w:val="0"/>
        <w:lang w:val="da-DK"/>
      </w:rPr>
      <w:t>ApS</w:t>
    </w:r>
    <w:r>
      <w:rPr>
        <w:b w:val="1"/>
        <w:bCs w:val="1"/>
        <w:rtl w:val="0"/>
        <w:lang w:val="da-DK"/>
      </w:rPr>
      <w:t xml:space="preserve"> • </w:t>
    </w:r>
    <w:r>
      <w:rPr>
        <w:rtl w:val="0"/>
      </w:rPr>
      <w:t>Svanem</w:t>
    </w:r>
    <w:r>
      <w:rPr>
        <w:rtl w:val="0"/>
      </w:rPr>
      <w:t>ø</w:t>
    </w:r>
    <w:r>
      <w:rPr>
        <w:rtl w:val="0"/>
      </w:rPr>
      <w:t>llevej</w:t>
    </w:r>
    <w:r>
      <w:rPr>
        <w:rtl w:val="0"/>
      </w:rPr>
      <w:t xml:space="preserve"> </w:t>
    </w:r>
    <w:r>
      <w:rPr>
        <w:rtl w:val="0"/>
      </w:rPr>
      <w:t>41</w:t>
    </w:r>
    <w:r>
      <w:rPr>
        <w:rtl w:val="0"/>
      </w:rPr>
      <w:t xml:space="preserve"> • </w:t>
    </w:r>
    <w:r>
      <w:rPr>
        <w:rtl w:val="0"/>
      </w:rPr>
      <w:t>2900</w:t>
    </w:r>
    <w:r>
      <w:rPr>
        <w:rtl w:val="0"/>
      </w:rPr>
      <w:t xml:space="preserve"> </w:t>
    </w:r>
    <w:r>
      <w:rPr>
        <w:rtl w:val="0"/>
      </w:rPr>
      <w:t>Hellerup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Heavy" w:hAnsi="Avenir Heavy"/>
        <w:rtl w:val="0"/>
        <w:lang w:val="da-DK"/>
      </w:rPr>
      <w:t xml:space="preserve">UMAHRO </w:t>
    </w:r>
    <w:r>
      <w:rPr>
        <w:rFonts w:ascii="Avenir Heavy" w:hAnsi="Avenir Heavy"/>
        <w:rtl w:val="0"/>
        <w:lang w:val="da-DK"/>
      </w:rPr>
      <w:t>ApS</w:t>
    </w:r>
    <w:r>
      <w:rPr>
        <w:rFonts w:ascii="Avenir Heavy" w:hAnsi="Avenir Heavy" w:hint="default"/>
        <w:rtl w:val="0"/>
        <w:lang w:val="da-DK"/>
      </w:rPr>
      <w:t xml:space="preserve"> •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  <w:lang w:val="da-DK"/>
      </w:rPr>
      <w:t>℅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The Social House, Store Regnegade 12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hAnsi="Avenir Book"/>
        <w:rtl w:val="0"/>
        <w:lang w:val="da-DK"/>
      </w:rPr>
      <w:t xml:space="preserve">1110 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K</w:t>
    </w:r>
    <w:r>
      <w:rPr>
        <w:rFonts w:ascii="Avenir Book" w:hAnsi="Avenir Book" w:hint="default"/>
        <w:rtl w:val="0"/>
        <w:lang w:val="da-DK"/>
      </w:rPr>
      <w:t>ø</w:t>
    </w:r>
    <w:r>
      <w:rPr>
        <w:rFonts w:ascii="Avenir Book" w:hAnsi="Avenir Book"/>
        <w:rtl w:val="0"/>
        <w:lang w:val="da-DK"/>
      </w:rPr>
      <w:t>benhavn K</w:t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Fonts w:ascii="Avenir Book" w:cs="Avenir Book" w:hAnsi="Avenir Book" w:eastAsia="Avenir Book"/>
        <w:rtl w:val="0"/>
      </w:rPr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clear" w:pos="4320"/>
        <w:tab w:val="clear" w:pos="8640"/>
      </w:tabs>
      <w:bidi w:val="0"/>
      <w:ind w:left="0" w:right="0" w:firstLine="0"/>
      <w:jc w:val="center"/>
      <w:rPr>
        <w:rtl w:val="0"/>
      </w:rPr>
    </w:pPr>
    <w:r>
      <w:rPr>
        <w:rFonts w:ascii="Avenir Book" w:hAnsi="Avenir Book"/>
        <w:rtl w:val="0"/>
        <w:lang w:val="da-DK"/>
      </w:rPr>
      <w:t xml:space="preserve">Ved personlige konsultationer </w:t>
    </w:r>
    <w:r>
      <w:rPr>
        <w:rFonts w:ascii="Avenir Book" w:hAnsi="Avenir Book" w:hint="default"/>
        <w:rtl w:val="0"/>
        <w:lang w:val="da-DK"/>
      </w:rPr>
      <w:t xml:space="preserve">• </w:t>
    </w: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31319579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instrText xml:space="preserve"> HYPERLINK "mailto:konsultation@umahro.com"</w:instrText>
    </w:r>
    <w:r>
      <w:rPr>
        <w:rStyle w:val="Hyperlink.0"/>
        <w:rFonts w:ascii="Avenir Book" w:cs="Avenir Book" w:hAnsi="Avenir Book" w:eastAsia="Avenir Book"/>
        <w:outline w:val="0"/>
        <w:color w:val="000000"/>
        <w:u w:val="none" w:color="0000ff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00"/>
        <w:u w:val="none" w:color="0000ff"/>
        <w:rtl w:val="0"/>
        <w:lang w:val="da-DK"/>
        <w14:textFill>
          <w14:solidFill>
            <w14:srgbClr w14:val="000000"/>
          </w14:solidFill>
        </w14:textFill>
      </w:rPr>
      <w:t>konsultation@umahro.com</w:t>
    </w:r>
    <w:r>
      <w:rPr>
        <w:rFonts w:ascii="Avenir Book" w:cs="Avenir Book" w:hAnsi="Avenir Book" w:eastAsia="Avenir Book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kzidenz-Grotesk Std Bold"/>
        <a:ea typeface="Akzidenz-Grotesk Std Bold"/>
        <a:cs typeface="Akzidenz-Grotesk Std Bold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