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0574A2" w:rsidRDefault="003210F2">
      <w:pPr>
        <w:rPr>
          <w:rFonts w:ascii="Barlow" w:hAnsi="Barlow"/>
          <w:lang w:val="en-US"/>
        </w:rPr>
      </w:pPr>
      <w:r w:rsidRPr="000574A2">
        <w:rPr>
          <w:rFonts w:ascii="Barlow" w:hAnsi="Barlow"/>
          <w:lang w:val="en-US"/>
        </w:rPr>
        <w:t>Tools for SMALL Businesses</w:t>
      </w:r>
    </w:p>
    <w:p w14:paraId="40F1E090" w14:textId="18DFC091" w:rsidR="009C0C52" w:rsidRPr="000574A2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0574A2">
        <w:rPr>
          <w:rFonts w:ascii="Barlow" w:hAnsi="Barlow"/>
          <w:lang w:val="en-US"/>
        </w:rPr>
        <w:t xml:space="preserve">Level 1 Question </w:t>
      </w:r>
      <w:r w:rsidR="00D85A9E" w:rsidRPr="000574A2">
        <w:rPr>
          <w:rFonts w:ascii="Barlow" w:hAnsi="Barlow"/>
          <w:lang w:val="en-US"/>
        </w:rPr>
        <w:t>1</w:t>
      </w:r>
      <w:r w:rsidR="00204A71" w:rsidRPr="000574A2">
        <w:rPr>
          <w:rFonts w:ascii="Barlow" w:hAnsi="Barlow"/>
          <w:lang w:val="en-US"/>
        </w:rPr>
        <w:t>4</w:t>
      </w:r>
      <w:r w:rsidR="002C2736" w:rsidRPr="000574A2">
        <w:rPr>
          <w:rFonts w:ascii="Barlow" w:hAnsi="Barlow"/>
          <w:lang w:val="en-US"/>
        </w:rPr>
        <w:t xml:space="preserve">: </w:t>
      </w:r>
      <w:r w:rsidR="00204A71" w:rsidRPr="000574A2">
        <w:rPr>
          <w:rFonts w:ascii="Barlow" w:hAnsi="Barlow"/>
          <w:lang w:val="en-US"/>
        </w:rPr>
        <w:t xml:space="preserve">Do we have a budget and are we monitoring it regularly (e.g., </w:t>
      </w:r>
      <w:proofErr w:type="gramStart"/>
      <w:r w:rsidR="00204A71" w:rsidRPr="000574A2">
        <w:rPr>
          <w:rFonts w:ascii="Barlow" w:hAnsi="Barlow"/>
          <w:lang w:val="en-US"/>
        </w:rPr>
        <w:t>monthly</w:t>
      </w:r>
      <w:proofErr w:type="gramEnd"/>
      <w:r w:rsidR="00204A71" w:rsidRPr="000574A2">
        <w:rPr>
          <w:rFonts w:ascii="Barlow" w:hAnsi="Barlow"/>
          <w:lang w:val="en-US"/>
        </w:rPr>
        <w:t xml:space="preserve"> or quarterly).</w:t>
      </w:r>
    </w:p>
    <w:p w14:paraId="04297402" w14:textId="77777777" w:rsidR="005F335C" w:rsidRPr="000574A2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8046"/>
      </w:tblGrid>
      <w:tr w:rsidR="003210F2" w:rsidRPr="000574A2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0574A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354B7021" w:rsidR="003210F2" w:rsidRPr="000574A2" w:rsidRDefault="000574A2" w:rsidP="002C2736">
            <w:pPr>
              <w:spacing w:before="0" w:after="0" w:line="240" w:lineRule="auto"/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 xml:space="preserve">Operational </w:t>
            </w:r>
            <w:r w:rsidR="00204A71" w:rsidRPr="000574A2">
              <w:rPr>
                <w:rFonts w:ascii="Barlow" w:hAnsi="Barlow"/>
                <w:lang w:val="en-US"/>
              </w:rPr>
              <w:t>Budgeting tool</w:t>
            </w:r>
          </w:p>
        </w:tc>
      </w:tr>
      <w:tr w:rsidR="003210F2" w:rsidRPr="000574A2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0574A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5C4EB5EA" w14:textId="62BB50B3" w:rsidR="000574A2" w:rsidRDefault="000574A2" w:rsidP="000574A2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"/>
              </w:rPr>
            </w:pPr>
            <w:r>
              <w:rPr>
                <w:rFonts w:ascii="Barlow" w:hAnsi="Barlow"/>
                <w:sz w:val="20"/>
                <w:szCs w:val="20"/>
                <w:lang w:val="en"/>
              </w:rPr>
              <w:t>With New departments being created, and the founders delegating more and more responsibility,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 xml:space="preserve"> </w:t>
            </w:r>
            <w:r>
              <w:rPr>
                <w:rFonts w:ascii="Barlow" w:hAnsi="Barlow"/>
                <w:sz w:val="20"/>
                <w:szCs w:val="20"/>
                <w:lang w:val="en"/>
              </w:rPr>
              <w:t xml:space="preserve">key decisions with economic impact will be made by more and ore people. These people 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>do</w:t>
            </w:r>
            <w:r>
              <w:rPr>
                <w:rFonts w:ascii="Barlow" w:hAnsi="Barlow"/>
                <w:sz w:val="20"/>
                <w:szCs w:val="20"/>
                <w:lang w:val="en"/>
              </w:rPr>
              <w:t xml:space="preserve"> not have the same holistic view of the company as the founders used to, and they do 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>not necessarily</w:t>
            </w:r>
            <w:r>
              <w:rPr>
                <w:rFonts w:ascii="Barlow" w:hAnsi="Barlow"/>
                <w:sz w:val="20"/>
                <w:szCs w:val="20"/>
                <w:lang w:val="en"/>
              </w:rPr>
              <w:t xml:space="preserve"> feel the same 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>urgency</w:t>
            </w:r>
            <w:r>
              <w:rPr>
                <w:rFonts w:ascii="Barlow" w:hAnsi="Barlow"/>
                <w:sz w:val="20"/>
                <w:szCs w:val="20"/>
                <w:lang w:val="en"/>
              </w:rPr>
              <w:t xml:space="preserve"> to 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>which</w:t>
            </w:r>
            <w:r>
              <w:rPr>
                <w:rFonts w:ascii="Barlow" w:hAnsi="Barlow"/>
                <w:sz w:val="20"/>
                <w:szCs w:val="20"/>
                <w:lang w:val="en"/>
              </w:rPr>
              <w:t xml:space="preserve"> every dollar. </w:t>
            </w:r>
            <w:r w:rsidR="005E153D">
              <w:rPr>
                <w:rFonts w:ascii="Barlow" w:hAnsi="Barlow"/>
                <w:sz w:val="20"/>
                <w:szCs w:val="20"/>
                <w:lang w:val="en"/>
              </w:rPr>
              <w:t xml:space="preserve">Hence an overall budget and a set of department budgets needs to be put in place </w:t>
            </w:r>
          </w:p>
          <w:p w14:paraId="741C910D" w14:textId="12ABE2DD" w:rsidR="003210F2" w:rsidRPr="000574A2" w:rsidRDefault="003210F2" w:rsidP="005E153D">
            <w:pPr>
              <w:spacing w:before="0" w:after="0" w:line="276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3210F2" w:rsidRPr="003452D0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0574A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5A53B6FB" w14:textId="0E8E3474" w:rsidR="003452D0" w:rsidRPr="003452D0" w:rsidRDefault="003452D0" w:rsidP="003452D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/>
                <w:sz w:val="20"/>
                <w:szCs w:val="20"/>
                <w:lang w:val="en"/>
              </w:rPr>
            </w:pPr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An operating budget allows you to compare expenditures, such as cost of goods </w:t>
            </w:r>
            <w:proofErr w:type="gramStart"/>
            <w:r w:rsidRPr="003452D0">
              <w:rPr>
                <w:rFonts w:ascii="Barlow" w:hAnsi="Barlow"/>
                <w:sz w:val="20"/>
                <w:szCs w:val="20"/>
                <w:lang w:val="en"/>
              </w:rPr>
              <w:t>sold ,</w:t>
            </w:r>
            <w:proofErr w:type="gramEnd"/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 with revenue or other income sources in order to determine the viability of </w:t>
            </w:r>
            <w:r>
              <w:rPr>
                <w:rFonts w:ascii="Barlow" w:hAnsi="Barlow"/>
                <w:sz w:val="20"/>
                <w:szCs w:val="20"/>
                <w:lang w:val="en"/>
              </w:rPr>
              <w:t>your</w:t>
            </w:r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 business’s operations. </w:t>
            </w:r>
          </w:p>
          <w:p w14:paraId="589FA25C" w14:textId="77777777" w:rsidR="003452D0" w:rsidRPr="003452D0" w:rsidRDefault="003452D0" w:rsidP="003452D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arlow" w:hAnsi="Barlow"/>
                <w:sz w:val="20"/>
                <w:szCs w:val="20"/>
                <w:lang w:val="en"/>
              </w:rPr>
            </w:pPr>
          </w:p>
          <w:p w14:paraId="098083B0" w14:textId="77777777" w:rsid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"/>
              </w:rPr>
            </w:pPr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The preset criteria in an operating budget can help take the guesswork out of assessing your financial health. </w:t>
            </w:r>
          </w:p>
          <w:p w14:paraId="2592D805" w14:textId="77777777" w:rsid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"/>
              </w:rPr>
            </w:pPr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A template allows you to determine the overhead and administrative costs related to manufacturing products or providing services, in order to determine how </w:t>
            </w:r>
            <w:proofErr w:type="gramStart"/>
            <w:r w:rsidRPr="003452D0">
              <w:rPr>
                <w:rFonts w:ascii="Barlow" w:hAnsi="Barlow"/>
                <w:sz w:val="20"/>
                <w:szCs w:val="20"/>
                <w:lang w:val="en"/>
              </w:rPr>
              <w:t>close</w:t>
            </w:r>
            <w:proofErr w:type="gramEnd"/>
            <w:r w:rsidRPr="003452D0">
              <w:rPr>
                <w:rFonts w:ascii="Barlow" w:hAnsi="Barlow"/>
                <w:sz w:val="20"/>
                <w:szCs w:val="20"/>
                <w:lang w:val="en"/>
              </w:rPr>
              <w:t xml:space="preserve"> you are to meeting your projected budget. </w:t>
            </w:r>
          </w:p>
          <w:p w14:paraId="1F2B6FF1" w14:textId="5944202A" w:rsidR="00D776FC" w:rsidRP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"/>
              </w:rPr>
              <w:t>Operating budgets typically provide a way to evaluate expenditures vs. revenue on a quarterly basis, but you can also assess feasibility via week-by-week, month-by-month, or year-by-year periods.</w:t>
            </w:r>
          </w:p>
        </w:tc>
      </w:tr>
      <w:tr w:rsidR="00A66A90" w:rsidRPr="003452D0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0574A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04E5D573" w14:textId="77777777" w:rsidR="003452D0" w:rsidRP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An operating budget allows you to </w:t>
            </w:r>
            <w:proofErr w:type="gramStart"/>
            <w:r w:rsidRPr="003452D0">
              <w:rPr>
                <w:rFonts w:ascii="Barlow" w:hAnsi="Barlow"/>
                <w:sz w:val="20"/>
                <w:szCs w:val="20"/>
                <w:lang w:val="en-US"/>
              </w:rPr>
              <w:t>compare and contrast</w:t>
            </w:r>
            <w:proofErr w:type="gramEnd"/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 expenditures with revenue and other income sources. </w:t>
            </w:r>
            <w:proofErr w:type="gramStart"/>
            <w:r w:rsidRPr="003452D0">
              <w:rPr>
                <w:rFonts w:ascii="Barlow" w:hAnsi="Barlow"/>
                <w:sz w:val="20"/>
                <w:szCs w:val="20"/>
                <w:lang w:val="en-US"/>
              </w:rPr>
              <w:t>In order to</w:t>
            </w:r>
            <w:proofErr w:type="gramEnd"/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 account for all operational costs — potential and actual revenue — an operating budget should include the following sections: </w:t>
            </w:r>
          </w:p>
          <w:p w14:paraId="003A56A0" w14:textId="77777777" w:rsidR="003452D0" w:rsidRP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919F44B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Volume: The number of products or services you intend to provide, or have provided, for any given period </w:t>
            </w:r>
          </w:p>
          <w:p w14:paraId="53BDB59E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Price: The price per unit or service you budget for clients </w:t>
            </w:r>
          </w:p>
          <w:p w14:paraId="2FED447E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Revenue: Project and actual revenue generated by the number of products and services provided, and their associated costs </w:t>
            </w:r>
          </w:p>
          <w:p w14:paraId="3C69644D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Total Revenue: The auto-tallied volume of products or services, multiplied by their price </w:t>
            </w:r>
          </w:p>
          <w:p w14:paraId="32399F3D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Variable Costs: Fluctuating expenditures that vary monthly or annually </w:t>
            </w:r>
          </w:p>
          <w:p w14:paraId="679EA2A7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Fixed Costs: Set costs that you can confidently forecast due to their lack of monthly or annual variation </w:t>
            </w:r>
          </w:p>
          <w:p w14:paraId="4BD2C30C" w14:textId="77777777" w:rsidR="003452D0" w:rsidRPr="003452D0" w:rsidRDefault="003452D0" w:rsidP="003452D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Net Income: The money your business has available to spend, minus any taxes, etc. </w:t>
            </w:r>
          </w:p>
          <w:p w14:paraId="6F919027" w14:textId="77777777" w:rsidR="003452D0" w:rsidRP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Keep in mind that while many expenditures are recurring, you need to simultaneously consider one-time costs. Seasonal expenses will also impact an operating budget, as will any promotional events for which you plan to spend more on advertising or marketing. </w:t>
            </w:r>
          </w:p>
          <w:p w14:paraId="3E541E7B" w14:textId="77777777" w:rsidR="003452D0" w:rsidRP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43D3610" w14:textId="77777777" w:rsidR="003452D0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t xml:space="preserve">Annual operating budget data (projected vs. actuals) offers a long-term picture of a company’s continued operations. However, it’s often the month-by-month insights provided by an operating budget that exposes how unexpected costs affect the bottom line. Having short-term insight into initial projections can protect you from the surprise of unaccounted-for operating costs. </w:t>
            </w:r>
          </w:p>
          <w:p w14:paraId="5BCDFD8C" w14:textId="4825FBE4" w:rsidR="00D776FC" w:rsidRPr="000574A2" w:rsidRDefault="003452D0" w:rsidP="003452D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3452D0"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>Monthly comparisons of expenditures vs. revenue provide a surgical perspective that, once incorporated, informs the successive progress of your future operating budget considerations</w:t>
            </w:r>
          </w:p>
          <w:p w14:paraId="40B7A1F6" w14:textId="6F81A619" w:rsidR="00D776FC" w:rsidRPr="000574A2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B20A88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Pr="000574A2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Examples</w:t>
            </w:r>
          </w:p>
        </w:tc>
        <w:tc>
          <w:tcPr>
            <w:tcW w:w="7320" w:type="dxa"/>
          </w:tcPr>
          <w:p w14:paraId="6A8C5B9F" w14:textId="1EAFFA61" w:rsidR="00B7114B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Overall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Company Operating budget</w:t>
            </w:r>
          </w:p>
          <w:p w14:paraId="1955A5C7" w14:textId="545428F8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B20A88">
              <w:rPr>
                <w:rFonts w:ascii="Barlow" w:hAnsi="Barlow"/>
                <w:sz w:val="20"/>
                <w:szCs w:val="20"/>
              </w:rPr>
              <w:drawing>
                <wp:inline distT="0" distB="0" distL="0" distR="0" wp14:anchorId="3BB49EBE" wp14:editId="1B3AA10A">
                  <wp:extent cx="5731510" cy="2985135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BFC5F0-5DCE-FF43-80E9-31E9A502C0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7BBFC5F0-5DCE-FF43-80E9-31E9A502C0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8513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14:paraId="06AA495C" w14:textId="444BC5C5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9EEF2BB" w14:textId="4EE2B372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A0AE923" w14:textId="77777777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AD4D3FB" w14:textId="0C020378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Team or department Budget</w:t>
            </w:r>
          </w:p>
          <w:p w14:paraId="4D9A800B" w14:textId="77777777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084731" w14:textId="6FAA995F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B20A88">
              <w:rPr>
                <w:rFonts w:ascii="Barlow" w:hAnsi="Barlow"/>
                <w:sz w:val="20"/>
                <w:szCs w:val="20"/>
              </w:rPr>
              <w:drawing>
                <wp:inline distT="0" distB="0" distL="0" distR="0" wp14:anchorId="7ECACF2A" wp14:editId="457A6FA0">
                  <wp:extent cx="5731510" cy="1478915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A5E29B-6E2A-7047-8332-E69A2C90BA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AA5E29B-6E2A-7047-8332-E69A2C90BA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4789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14:paraId="078F8991" w14:textId="77777777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76048B" w14:textId="77777777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014AB6C" w14:textId="3F8B7098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Follow up:</w:t>
            </w:r>
          </w:p>
          <w:p w14:paraId="636B437E" w14:textId="3C3F6716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Focus on deviations</w:t>
            </w:r>
          </w:p>
          <w:p w14:paraId="67628C69" w14:textId="7700F3EE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B20A88">
              <w:rPr>
                <w:rFonts w:ascii="Barlow" w:hAnsi="Barlow"/>
                <w:sz w:val="20"/>
                <w:szCs w:val="20"/>
              </w:rPr>
              <w:lastRenderedPageBreak/>
              <w:drawing>
                <wp:inline distT="0" distB="0" distL="0" distR="0" wp14:anchorId="7A9AEF6A" wp14:editId="24DF9C63">
                  <wp:extent cx="5181600" cy="36718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432387-8F9A-414A-A0E5-0B71FEEC2C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2432387-8F9A-414A-A0E5-0B71FEEC2C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6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EC8CC1" w14:textId="77777777" w:rsidR="00B20A88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8C3C76C" w14:textId="39042921" w:rsidR="00B20A88" w:rsidRPr="000574A2" w:rsidRDefault="00B20A8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0574A2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0574A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T</w:t>
            </w:r>
            <w:r w:rsidR="005C2AF2" w:rsidRPr="000574A2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0574A2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0A7B2A8C" w:rsidR="00A2512B" w:rsidRPr="000574A2" w:rsidRDefault="00767C7C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Excel file</w:t>
            </w:r>
          </w:p>
          <w:p w14:paraId="07501B36" w14:textId="77777777" w:rsidR="00A2512B" w:rsidRPr="000574A2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0574A2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0574A2" w:rsidRDefault="003210F2">
      <w:pPr>
        <w:rPr>
          <w:rFonts w:ascii="Barlow" w:hAnsi="Barlow"/>
          <w:lang w:val="en-US"/>
        </w:rPr>
      </w:pPr>
    </w:p>
    <w:sectPr w:rsidR="003210F2" w:rsidRPr="0005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B4295"/>
    <w:multiLevelType w:val="hybridMultilevel"/>
    <w:tmpl w:val="3608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7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1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2E9D"/>
    <w:rsid w:val="000464C3"/>
    <w:rsid w:val="000574A2"/>
    <w:rsid w:val="000E132B"/>
    <w:rsid w:val="000F7F1C"/>
    <w:rsid w:val="00204A71"/>
    <w:rsid w:val="002326F1"/>
    <w:rsid w:val="002B5339"/>
    <w:rsid w:val="002C2736"/>
    <w:rsid w:val="003210F2"/>
    <w:rsid w:val="003452D0"/>
    <w:rsid w:val="00386FD2"/>
    <w:rsid w:val="003D30B7"/>
    <w:rsid w:val="005111A8"/>
    <w:rsid w:val="005C2AF2"/>
    <w:rsid w:val="005E153D"/>
    <w:rsid w:val="005F335C"/>
    <w:rsid w:val="0064449B"/>
    <w:rsid w:val="00767C7C"/>
    <w:rsid w:val="00773AAF"/>
    <w:rsid w:val="007D1BA0"/>
    <w:rsid w:val="008E29EE"/>
    <w:rsid w:val="00974E91"/>
    <w:rsid w:val="009A031E"/>
    <w:rsid w:val="009C0C52"/>
    <w:rsid w:val="00A2512B"/>
    <w:rsid w:val="00A66A90"/>
    <w:rsid w:val="00AA59DE"/>
    <w:rsid w:val="00B20A88"/>
    <w:rsid w:val="00B52FED"/>
    <w:rsid w:val="00B7114B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85A9E"/>
    <w:rsid w:val="00DC4304"/>
    <w:rsid w:val="00DF1718"/>
    <w:rsid w:val="00E20474"/>
    <w:rsid w:val="00EE6390"/>
    <w:rsid w:val="00F11814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2022-03-06T14:26:00Z</dcterms:created>
  <dcterms:modified xsi:type="dcterms:W3CDTF">2022-03-07T21:13:00Z</dcterms:modified>
</cp:coreProperties>
</file>